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0F" w:rsidRPr="00B31A0F" w:rsidRDefault="00B31A0F" w:rsidP="00B31A0F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B31A0F">
        <w:rPr>
          <w:rFonts w:ascii="Arial" w:eastAsia="Times New Roman" w:hAnsi="Arial" w:cs="Arial"/>
          <w:b/>
          <w:bCs/>
          <w:color w:val="333333"/>
          <w:sz w:val="36"/>
          <w:szCs w:val="36"/>
        </w:rPr>
        <w:t>Установлен порядок исчисления минимального срока владения при продаже образованных участков</w:t>
      </w:r>
    </w:p>
    <w:p w:rsidR="00B31A0F" w:rsidRPr="00B31A0F" w:rsidRDefault="00B31A0F" w:rsidP="00B31A0F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31A0F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B31A0F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B31A0F" w:rsidRPr="00B31A0F" w:rsidRDefault="00B31A0F" w:rsidP="00B31A0F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31A0F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B31A0F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B31A0F" w:rsidRPr="00B31A0F" w:rsidRDefault="00B31A0F" w:rsidP="00B31A0F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31A0F">
        <w:rPr>
          <w:rFonts w:ascii="Roboto" w:eastAsia="Times New Roman" w:hAnsi="Roboto" w:cs="Times New Roman"/>
          <w:color w:val="333333"/>
          <w:sz w:val="24"/>
          <w:szCs w:val="24"/>
        </w:rPr>
        <w:t>При продаже участков для ИЖС, ЛПХ, размещения гаражей, садоводства и огородничества, образованных в результате раздела, выдела, объединения или перераспределения исходных участков, в срок нахождения в собственности образованного участка включается срок нахождения в собственности исходных участков.</w:t>
      </w:r>
      <w:r w:rsidRPr="00B31A0F">
        <w:rPr>
          <w:rFonts w:ascii="Roboto" w:eastAsia="Times New Roman" w:hAnsi="Roboto" w:cs="Times New Roman"/>
          <w:color w:val="333333"/>
          <w:sz w:val="24"/>
          <w:szCs w:val="24"/>
        </w:rPr>
        <w:br/>
        <w:t>При образовании участка в результате объединения исходных участков минимальный срок владения образованным участком исчисляется с даты возникновения права собственности, пожизненного наследуемого владения или постоянного (бессрочного) пользования на последний из исходных участков.</w:t>
      </w:r>
      <w:r w:rsidRPr="00B31A0F">
        <w:rPr>
          <w:rFonts w:ascii="Roboto" w:eastAsia="Times New Roman" w:hAnsi="Roboto" w:cs="Times New Roman"/>
          <w:color w:val="333333"/>
          <w:sz w:val="24"/>
          <w:szCs w:val="24"/>
        </w:rPr>
        <w:br/>
        <w:t>Количество участков, образованных при разделе исходного участка и выделе долей из участка, находящегося в долевой собственности, не должно превышать двух.</w:t>
      </w:r>
      <w:r w:rsidRPr="00B31A0F">
        <w:rPr>
          <w:rFonts w:ascii="Roboto" w:eastAsia="Times New Roman" w:hAnsi="Roboto" w:cs="Times New Roman"/>
          <w:color w:val="333333"/>
          <w:sz w:val="24"/>
          <w:szCs w:val="24"/>
        </w:rPr>
        <w:br/>
        <w:t>С 2025 г. акцизом не облагается реализация на территории России организациями, имеющими свидетельство на производство фармацевтической продукции, произведенных ими лекарственных средств и препаратов при условии, что в отношении фармацевтической субстанции этилового спирта, использованной для их производства, налогоплательщиком исчислена сумма акциза. Это условие применяется в отношении фармацевтической субстанции, полученной (оприходованной) с 1 января 2025 г. С этой даты перечни лекарственных средств и препаратов, утвержденные Минздравом до 2025 г., применяются в порядке и в соответствии с критериями, которые установит Правительство.</w:t>
      </w:r>
      <w:r w:rsidRPr="00B31A0F">
        <w:rPr>
          <w:rFonts w:ascii="Roboto" w:eastAsia="Times New Roman" w:hAnsi="Roboto" w:cs="Times New Roman"/>
          <w:color w:val="333333"/>
          <w:sz w:val="24"/>
          <w:szCs w:val="24"/>
        </w:rPr>
        <w:br/>
        <w:t>Закон вступает в силу со дня официального опубликования. Положения об исчислении минимального срока владения при продаже образованных участков вступают в силу с 1 января 2025 г.</w:t>
      </w:r>
    </w:p>
    <w:p w:rsidR="00B0134E" w:rsidRDefault="00B31A0F">
      <w:r>
        <w:t xml:space="preserve"> </w:t>
      </w:r>
    </w:p>
    <w:sectPr w:rsidR="00B01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B31A0F"/>
    <w:rsid w:val="00B0134E"/>
    <w:rsid w:val="00B3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B31A0F"/>
  </w:style>
  <w:style w:type="character" w:customStyle="1" w:styleId="feeds-pagenavigationtooltip">
    <w:name w:val="feeds-page__navigation_tooltip"/>
    <w:basedOn w:val="a0"/>
    <w:rsid w:val="00B31A0F"/>
  </w:style>
  <w:style w:type="paragraph" w:styleId="a3">
    <w:name w:val="Normal (Web)"/>
    <w:basedOn w:val="a"/>
    <w:uiPriority w:val="99"/>
    <w:semiHidden/>
    <w:unhideWhenUsed/>
    <w:rsid w:val="00B31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90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61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579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8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4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2024-12-27T19:43:00Z</dcterms:created>
  <dcterms:modified xsi:type="dcterms:W3CDTF">2024-12-27T19:44:00Z</dcterms:modified>
</cp:coreProperties>
</file>